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98CA" w14:textId="0F6918F4" w:rsidR="00047E2E" w:rsidRDefault="00501163" w:rsidP="00501163">
      <w:pPr>
        <w:spacing w:after="0" w:line="240" w:lineRule="auto"/>
        <w:jc w:val="center"/>
        <w:rPr>
          <w:rFonts w:ascii="Arial" w:hAnsi="Arial" w:cs="Arial"/>
          <w:b/>
          <w:bCs/>
          <w:sz w:val="24"/>
          <w:szCs w:val="24"/>
        </w:rPr>
      </w:pPr>
      <w:r w:rsidRPr="00501163">
        <w:rPr>
          <w:rFonts w:ascii="Arial" w:hAnsi="Arial" w:cs="Arial"/>
          <w:b/>
          <w:bCs/>
          <w:sz w:val="24"/>
          <w:szCs w:val="24"/>
        </w:rPr>
        <w:t>Clinical Practice Setting Checklist</w:t>
      </w:r>
    </w:p>
    <w:p w14:paraId="06C72942" w14:textId="21867A22" w:rsidR="00501163" w:rsidRPr="00501163" w:rsidRDefault="00501163" w:rsidP="00934DC5">
      <w:pPr>
        <w:spacing w:after="0" w:line="240" w:lineRule="auto"/>
        <w:rPr>
          <w:rFonts w:ascii="Arial" w:hAnsi="Arial" w:cs="Arial"/>
          <w:sz w:val="24"/>
          <w:szCs w:val="24"/>
        </w:rPr>
      </w:pPr>
    </w:p>
    <w:p w14:paraId="3F0823D2" w14:textId="706871F2" w:rsidR="00501163" w:rsidRPr="00934DC5" w:rsidRDefault="00501163" w:rsidP="00501163">
      <w:pPr>
        <w:spacing w:after="0" w:line="240" w:lineRule="auto"/>
        <w:rPr>
          <w:rFonts w:ascii="Arial" w:hAnsi="Arial" w:cs="Arial"/>
          <w:i/>
          <w:iCs/>
          <w:color w:val="0070C0"/>
          <w:sz w:val="20"/>
          <w:szCs w:val="20"/>
        </w:rPr>
      </w:pPr>
      <w:r w:rsidRPr="00934DC5">
        <w:rPr>
          <w:rFonts w:ascii="Arial" w:hAnsi="Arial" w:cs="Arial"/>
          <w:i/>
          <w:iCs/>
          <w:color w:val="0070C0"/>
          <w:sz w:val="20"/>
          <w:szCs w:val="20"/>
        </w:rPr>
        <w:t>During the Orientation Training, the faculty supervisor, in collaboration with the cooperating teacher and candidate</w:t>
      </w:r>
      <w:r w:rsidR="00934DC5">
        <w:rPr>
          <w:rFonts w:ascii="Arial" w:hAnsi="Arial" w:cs="Arial"/>
          <w:i/>
          <w:iCs/>
          <w:color w:val="0070C0"/>
          <w:sz w:val="20"/>
          <w:szCs w:val="20"/>
        </w:rPr>
        <w:t>,</w:t>
      </w:r>
      <w:r w:rsidRPr="00934DC5">
        <w:rPr>
          <w:rFonts w:ascii="Arial" w:hAnsi="Arial" w:cs="Arial"/>
          <w:i/>
          <w:iCs/>
          <w:color w:val="0070C0"/>
          <w:sz w:val="20"/>
          <w:szCs w:val="20"/>
        </w:rPr>
        <w:t xml:space="preserve"> must verify that the clinical practice placement allows the candidate to meet all state and program requirements. Should items arise that do not </w:t>
      </w:r>
      <w:r w:rsidR="00934DC5">
        <w:rPr>
          <w:rFonts w:ascii="Arial" w:hAnsi="Arial" w:cs="Arial"/>
          <w:i/>
          <w:iCs/>
          <w:color w:val="0070C0"/>
          <w:sz w:val="20"/>
          <w:szCs w:val="20"/>
        </w:rPr>
        <w:t>allow</w:t>
      </w:r>
      <w:r w:rsidRPr="00934DC5">
        <w:rPr>
          <w:rFonts w:ascii="Arial" w:hAnsi="Arial" w:cs="Arial"/>
          <w:i/>
          <w:iCs/>
          <w:color w:val="0070C0"/>
          <w:sz w:val="20"/>
          <w:szCs w:val="20"/>
        </w:rPr>
        <w:t xml:space="preserve"> these requirements</w:t>
      </w:r>
      <w:r w:rsidR="00934DC5">
        <w:rPr>
          <w:rFonts w:ascii="Arial" w:hAnsi="Arial" w:cs="Arial"/>
          <w:i/>
          <w:iCs/>
          <w:color w:val="0070C0"/>
          <w:sz w:val="20"/>
          <w:szCs w:val="20"/>
        </w:rPr>
        <w:t xml:space="preserve"> to be met</w:t>
      </w:r>
      <w:r w:rsidRPr="00934DC5">
        <w:rPr>
          <w:rFonts w:ascii="Arial" w:hAnsi="Arial" w:cs="Arial"/>
          <w:i/>
          <w:iCs/>
          <w:color w:val="0070C0"/>
          <w:sz w:val="20"/>
          <w:szCs w:val="20"/>
        </w:rPr>
        <w:t xml:space="preserve">, the faculty supervisor </w:t>
      </w:r>
      <w:r w:rsidR="00934DC5">
        <w:rPr>
          <w:rFonts w:ascii="Arial" w:hAnsi="Arial" w:cs="Arial"/>
          <w:i/>
          <w:iCs/>
          <w:color w:val="0070C0"/>
          <w:sz w:val="20"/>
          <w:szCs w:val="20"/>
        </w:rPr>
        <w:t>should</w:t>
      </w:r>
      <w:r w:rsidRPr="00934DC5">
        <w:rPr>
          <w:rFonts w:ascii="Arial" w:hAnsi="Arial" w:cs="Arial"/>
          <w:i/>
          <w:iCs/>
          <w:color w:val="0070C0"/>
          <w:sz w:val="20"/>
          <w:szCs w:val="20"/>
        </w:rPr>
        <w:t xml:space="preserve"> immediately contact the Educational Program Specialist (</w:t>
      </w:r>
      <w:hyperlink r:id="rId5" w:history="1">
        <w:r w:rsidR="00934DC5" w:rsidRPr="0051389D">
          <w:rPr>
            <w:rStyle w:val="Hyperlink"/>
            <w:rFonts w:ascii="Arial" w:hAnsi="Arial" w:cs="Arial"/>
            <w:i/>
            <w:iCs/>
            <w:sz w:val="20"/>
            <w:szCs w:val="20"/>
          </w:rPr>
          <w:t>Lisa.Caron@phoenix.edu</w:t>
        </w:r>
      </w:hyperlink>
      <w:r w:rsidRPr="00934DC5">
        <w:rPr>
          <w:rFonts w:ascii="Arial" w:hAnsi="Arial" w:cs="Arial"/>
          <w:i/>
          <w:iCs/>
          <w:color w:val="0070C0"/>
          <w:sz w:val="20"/>
          <w:szCs w:val="20"/>
        </w:rPr>
        <w:t>), the Faculty Development Chair (</w:t>
      </w:r>
      <w:hyperlink r:id="rId6" w:history="1">
        <w:r w:rsidR="00934DC5" w:rsidRPr="0051389D">
          <w:rPr>
            <w:rStyle w:val="Hyperlink"/>
            <w:rFonts w:ascii="Arial" w:hAnsi="Arial" w:cs="Arial"/>
            <w:i/>
            <w:iCs/>
            <w:sz w:val="20"/>
            <w:szCs w:val="20"/>
          </w:rPr>
          <w:t>Jill.VanAllen@phoenix.edu</w:t>
        </w:r>
      </w:hyperlink>
      <w:r w:rsidRPr="00934DC5">
        <w:rPr>
          <w:rFonts w:ascii="Arial" w:hAnsi="Arial" w:cs="Arial"/>
          <w:i/>
          <w:iCs/>
          <w:color w:val="0070C0"/>
          <w:sz w:val="20"/>
          <w:szCs w:val="20"/>
        </w:rPr>
        <w:t>), or the California Program Chair (</w:t>
      </w:r>
      <w:hyperlink r:id="rId7" w:history="1">
        <w:r w:rsidR="00934DC5" w:rsidRPr="0051389D">
          <w:rPr>
            <w:rStyle w:val="Hyperlink"/>
            <w:rFonts w:ascii="Arial" w:hAnsi="Arial" w:cs="Arial"/>
            <w:i/>
            <w:iCs/>
            <w:sz w:val="20"/>
            <w:szCs w:val="20"/>
          </w:rPr>
          <w:t>Julia.Taylor@phoenix.edu</w:t>
        </w:r>
      </w:hyperlink>
      <w:r w:rsidRPr="00934DC5">
        <w:rPr>
          <w:rFonts w:ascii="Arial" w:hAnsi="Arial" w:cs="Arial"/>
          <w:i/>
          <w:iCs/>
          <w:color w:val="0070C0"/>
          <w:sz w:val="20"/>
          <w:szCs w:val="20"/>
        </w:rPr>
        <w:t>)</w:t>
      </w:r>
      <w:r w:rsidR="00934DC5" w:rsidRPr="00934DC5">
        <w:rPr>
          <w:rFonts w:ascii="Arial" w:hAnsi="Arial" w:cs="Arial"/>
          <w:i/>
          <w:iCs/>
          <w:color w:val="0070C0"/>
          <w:sz w:val="20"/>
          <w:szCs w:val="20"/>
        </w:rPr>
        <w:t>, as a new setting may be necessary.</w:t>
      </w:r>
    </w:p>
    <w:p w14:paraId="1D8E49CF" w14:textId="76B23EA5" w:rsidR="00501163" w:rsidRPr="00501163" w:rsidRDefault="00501163" w:rsidP="00501163">
      <w:pPr>
        <w:spacing w:after="0" w:line="240" w:lineRule="auto"/>
        <w:jc w:val="center"/>
        <w:rPr>
          <w:rFonts w:ascii="Arial" w:hAnsi="Arial" w:cs="Arial"/>
          <w:sz w:val="24"/>
          <w:szCs w:val="24"/>
        </w:rPr>
      </w:pPr>
    </w:p>
    <w:p w14:paraId="51723E06" w14:textId="77777777" w:rsidR="00501163" w:rsidRPr="00501163" w:rsidRDefault="00501163" w:rsidP="00934DC5">
      <w:pPr>
        <w:numPr>
          <w:ilvl w:val="0"/>
          <w:numId w:val="5"/>
        </w:numPr>
        <w:spacing w:after="75" w:line="240" w:lineRule="auto"/>
        <w:rPr>
          <w:rFonts w:ascii="Arial" w:eastAsia="Times New Roman" w:hAnsi="Arial" w:cs="Arial"/>
          <w:color w:val="000000"/>
          <w:sz w:val="24"/>
          <w:szCs w:val="24"/>
        </w:rPr>
      </w:pPr>
      <w:r w:rsidRPr="00501163">
        <w:rPr>
          <w:rFonts w:ascii="Arial" w:eastAsia="Times New Roman" w:hAnsi="Arial" w:cs="Arial"/>
          <w:color w:val="000000"/>
          <w:sz w:val="24"/>
          <w:szCs w:val="24"/>
        </w:rPr>
        <w:t>Ensures a teaching/learning climate that allows the student teacher to develop skills in instructional planning and provides numerous opportunities for him/her to test theory and practice in the classroom.</w:t>
      </w:r>
    </w:p>
    <w:p w14:paraId="26C24CD7" w14:textId="54F4922E" w:rsidR="00501163" w:rsidRDefault="00501163" w:rsidP="00934DC5">
      <w:pPr>
        <w:numPr>
          <w:ilvl w:val="0"/>
          <w:numId w:val="5"/>
        </w:numPr>
        <w:spacing w:after="75" w:line="240" w:lineRule="auto"/>
        <w:rPr>
          <w:rFonts w:ascii="Arial" w:eastAsia="Times New Roman" w:hAnsi="Arial" w:cs="Arial"/>
          <w:color w:val="000000"/>
          <w:sz w:val="24"/>
          <w:szCs w:val="24"/>
        </w:rPr>
      </w:pPr>
      <w:r w:rsidRPr="00501163">
        <w:rPr>
          <w:rFonts w:ascii="Arial" w:eastAsia="Times New Roman" w:hAnsi="Arial" w:cs="Arial"/>
          <w:color w:val="000000"/>
          <w:sz w:val="24"/>
          <w:szCs w:val="24"/>
        </w:rPr>
        <w:t>Provides a teaching/learning atmosphere that supports dialogue and discussion, provides strengths-based feedback and next steps for growth, and encourages open communication promoting the student teacher’s self-reflection and professional growth.</w:t>
      </w:r>
    </w:p>
    <w:p w14:paraId="15C98F08" w14:textId="560F07F4" w:rsidR="001B394C" w:rsidRPr="00501163" w:rsidRDefault="001B394C" w:rsidP="001B394C">
      <w:pPr>
        <w:numPr>
          <w:ilvl w:val="0"/>
          <w:numId w:val="5"/>
        </w:numPr>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Follows the University of Phoenix’s Six Phases of Gradual Releasing/Assuming of Responsibility model. </w:t>
      </w:r>
    </w:p>
    <w:p w14:paraId="070A93B9" w14:textId="77777777" w:rsidR="00501163" w:rsidRPr="00501163" w:rsidRDefault="00501163" w:rsidP="00934DC5">
      <w:pPr>
        <w:numPr>
          <w:ilvl w:val="0"/>
          <w:numId w:val="5"/>
        </w:numPr>
        <w:spacing w:after="75" w:line="240" w:lineRule="auto"/>
        <w:rPr>
          <w:rFonts w:ascii="Arial" w:eastAsia="Times New Roman" w:hAnsi="Arial" w:cs="Arial"/>
          <w:color w:val="000000"/>
          <w:sz w:val="24"/>
          <w:szCs w:val="24"/>
        </w:rPr>
      </w:pPr>
      <w:r w:rsidRPr="00501163">
        <w:rPr>
          <w:rFonts w:ascii="Arial" w:eastAsia="Times New Roman" w:hAnsi="Arial" w:cs="Arial"/>
          <w:color w:val="000000"/>
          <w:sz w:val="24"/>
          <w:szCs w:val="24"/>
        </w:rPr>
        <w:t>Allows time in the daily schedule for the cooperating teacher and candidate to collaborate, co-plan lessons and discuss curricular requirements, and engage in coaching and feedback conversations focused on the candidate’s progress toward meeting the TPEs.</w:t>
      </w:r>
    </w:p>
    <w:p w14:paraId="3BD1DBDA" w14:textId="77777777" w:rsidR="00501163" w:rsidRPr="00501163" w:rsidRDefault="00501163" w:rsidP="00934DC5">
      <w:pPr>
        <w:numPr>
          <w:ilvl w:val="0"/>
          <w:numId w:val="5"/>
        </w:numPr>
        <w:spacing w:after="75" w:line="240" w:lineRule="auto"/>
        <w:rPr>
          <w:rFonts w:ascii="Arial" w:eastAsia="Times New Roman" w:hAnsi="Arial" w:cs="Arial"/>
          <w:color w:val="000000"/>
          <w:sz w:val="24"/>
          <w:szCs w:val="24"/>
        </w:rPr>
      </w:pPr>
      <w:r w:rsidRPr="00501163">
        <w:rPr>
          <w:rFonts w:ascii="Arial" w:eastAsia="Times New Roman" w:hAnsi="Arial" w:cs="Arial"/>
          <w:color w:val="000000"/>
          <w:sz w:val="24"/>
          <w:szCs w:val="24"/>
        </w:rPr>
        <w:t>Uses curricular materials based on California content standards and allows the candidate flexibility and creativity in the use of these curricular materials and in the instructional delivery of content.</w:t>
      </w:r>
    </w:p>
    <w:p w14:paraId="7CEC0425" w14:textId="77777777" w:rsidR="00501163" w:rsidRPr="00501163" w:rsidRDefault="00501163" w:rsidP="00501163">
      <w:pPr>
        <w:numPr>
          <w:ilvl w:val="1"/>
          <w:numId w:val="2"/>
        </w:numPr>
        <w:spacing w:after="75" w:line="240" w:lineRule="auto"/>
        <w:ind w:left="900"/>
        <w:rPr>
          <w:rFonts w:ascii="Arial" w:eastAsia="Times New Roman" w:hAnsi="Arial" w:cs="Arial"/>
          <w:i/>
          <w:iCs/>
          <w:color w:val="000000"/>
          <w:sz w:val="24"/>
          <w:szCs w:val="24"/>
        </w:rPr>
      </w:pPr>
      <w:r w:rsidRPr="00501163">
        <w:rPr>
          <w:rFonts w:ascii="Arial" w:eastAsia="Times New Roman" w:hAnsi="Arial" w:cs="Arial"/>
          <w:i/>
          <w:iCs/>
          <w:color w:val="000000"/>
          <w:sz w:val="24"/>
          <w:szCs w:val="24"/>
        </w:rPr>
        <w:t>Note: The expectation is for the cooperating teacher to provide appropriate curricular materials. Candidates come with a wide range of experiences and skills. Most do not yet have the background to develop curriculum from scratch.</w:t>
      </w:r>
    </w:p>
    <w:p w14:paraId="05680A5D" w14:textId="77777777" w:rsidR="00501163" w:rsidRPr="00501163" w:rsidRDefault="00501163" w:rsidP="00934DC5">
      <w:pPr>
        <w:numPr>
          <w:ilvl w:val="0"/>
          <w:numId w:val="6"/>
        </w:numPr>
        <w:spacing w:after="75" w:line="240" w:lineRule="auto"/>
        <w:rPr>
          <w:rFonts w:ascii="Arial" w:eastAsia="Times New Roman" w:hAnsi="Arial" w:cs="Arial"/>
          <w:color w:val="000000"/>
          <w:sz w:val="24"/>
          <w:szCs w:val="24"/>
        </w:rPr>
      </w:pPr>
      <w:r w:rsidRPr="00501163">
        <w:rPr>
          <w:rFonts w:ascii="Arial" w:eastAsia="Times New Roman" w:hAnsi="Arial" w:cs="Arial"/>
          <w:color w:val="000000"/>
          <w:sz w:val="24"/>
          <w:szCs w:val="24"/>
        </w:rPr>
        <w:t>Allows the candidate to fulfill state requirements for solo teaching.</w:t>
      </w:r>
    </w:p>
    <w:p w14:paraId="03623C46" w14:textId="77777777" w:rsidR="00501163" w:rsidRPr="00501163" w:rsidRDefault="00501163" w:rsidP="00501163">
      <w:pPr>
        <w:numPr>
          <w:ilvl w:val="1"/>
          <w:numId w:val="3"/>
        </w:numPr>
        <w:spacing w:after="0" w:line="240" w:lineRule="auto"/>
        <w:ind w:left="900"/>
        <w:rPr>
          <w:rFonts w:ascii="Arial" w:eastAsia="Times New Roman" w:hAnsi="Arial" w:cs="Arial"/>
          <w:color w:val="000000"/>
          <w:sz w:val="24"/>
          <w:szCs w:val="24"/>
        </w:rPr>
      </w:pPr>
      <w:r w:rsidRPr="00501163">
        <w:rPr>
          <w:rFonts w:ascii="Arial" w:eastAsia="Times New Roman" w:hAnsi="Arial" w:cs="Arial"/>
          <w:color w:val="000000"/>
          <w:sz w:val="24"/>
          <w:szCs w:val="24"/>
          <w:u w:val="single"/>
          <w:bdr w:val="none" w:sz="0" w:space="0" w:color="auto" w:frame="1"/>
        </w:rPr>
        <w:t>Multiple Subject Candidates:</w:t>
      </w:r>
      <w:r w:rsidRPr="00501163">
        <w:rPr>
          <w:rFonts w:ascii="Arial" w:eastAsia="Times New Roman" w:hAnsi="Arial" w:cs="Arial"/>
          <w:color w:val="000000"/>
          <w:sz w:val="24"/>
          <w:szCs w:val="24"/>
        </w:rPr>
        <w:t> Complete a minimum of two (2) weeks of full-time solo teaching in each placement.</w:t>
      </w:r>
    </w:p>
    <w:p w14:paraId="6AAEFC87" w14:textId="77777777" w:rsidR="00501163" w:rsidRPr="00501163" w:rsidRDefault="00501163" w:rsidP="00C361DA">
      <w:pPr>
        <w:numPr>
          <w:ilvl w:val="1"/>
          <w:numId w:val="3"/>
        </w:numPr>
        <w:spacing w:line="240" w:lineRule="auto"/>
        <w:ind w:left="900"/>
        <w:rPr>
          <w:rFonts w:ascii="Arial" w:eastAsia="Times New Roman" w:hAnsi="Arial" w:cs="Arial"/>
          <w:color w:val="000000"/>
          <w:sz w:val="24"/>
          <w:szCs w:val="24"/>
        </w:rPr>
      </w:pPr>
      <w:r w:rsidRPr="00501163">
        <w:rPr>
          <w:rFonts w:ascii="Arial" w:eastAsia="Times New Roman" w:hAnsi="Arial" w:cs="Arial"/>
          <w:color w:val="000000"/>
          <w:sz w:val="24"/>
          <w:szCs w:val="24"/>
          <w:u w:val="single"/>
          <w:bdr w:val="none" w:sz="0" w:space="0" w:color="auto" w:frame="1"/>
        </w:rPr>
        <w:t>Single Subject Candidates:</w:t>
      </w:r>
      <w:r w:rsidRPr="00501163">
        <w:rPr>
          <w:rFonts w:ascii="Arial" w:eastAsia="Times New Roman" w:hAnsi="Arial" w:cs="Arial"/>
          <w:color w:val="000000"/>
          <w:sz w:val="24"/>
          <w:szCs w:val="24"/>
        </w:rPr>
        <w:t> Complete minimum of four (4) weeks of full-time solo teaching.</w:t>
      </w:r>
    </w:p>
    <w:p w14:paraId="561AC299" w14:textId="77777777" w:rsidR="00501163" w:rsidRPr="00501163" w:rsidRDefault="00501163" w:rsidP="00934DC5">
      <w:pPr>
        <w:numPr>
          <w:ilvl w:val="0"/>
          <w:numId w:val="7"/>
        </w:numPr>
        <w:spacing w:after="75" w:line="240" w:lineRule="auto"/>
        <w:ind w:left="300"/>
        <w:rPr>
          <w:rFonts w:ascii="Arial" w:eastAsia="Times New Roman" w:hAnsi="Arial" w:cs="Arial"/>
          <w:color w:val="000000"/>
          <w:sz w:val="24"/>
          <w:szCs w:val="24"/>
        </w:rPr>
      </w:pPr>
      <w:r w:rsidRPr="00501163">
        <w:rPr>
          <w:rFonts w:ascii="Arial" w:eastAsia="Times New Roman" w:hAnsi="Arial" w:cs="Arial"/>
          <w:color w:val="000000"/>
          <w:sz w:val="24"/>
          <w:szCs w:val="24"/>
        </w:rPr>
        <w:t>Allows the candidate to complete edTPA requirements and tasks, including video taping of lessons and obtaining necessary student background information needed to describe the context of the learning situation. Student work samples are required to be submitted.</w:t>
      </w:r>
    </w:p>
    <w:p w14:paraId="5BA85593" w14:textId="77777777" w:rsidR="00501163" w:rsidRPr="00501163" w:rsidRDefault="00501163" w:rsidP="00C361DA">
      <w:pPr>
        <w:numPr>
          <w:ilvl w:val="1"/>
          <w:numId w:val="4"/>
        </w:numPr>
        <w:spacing w:line="240" w:lineRule="auto"/>
        <w:ind w:left="900"/>
        <w:rPr>
          <w:rFonts w:ascii="Arial" w:eastAsia="Times New Roman" w:hAnsi="Arial" w:cs="Arial"/>
          <w:color w:val="000000"/>
          <w:sz w:val="24"/>
          <w:szCs w:val="24"/>
        </w:rPr>
      </w:pPr>
      <w:r w:rsidRPr="00501163">
        <w:rPr>
          <w:rFonts w:ascii="Arial" w:eastAsia="Times New Roman" w:hAnsi="Arial" w:cs="Arial"/>
          <w:i/>
          <w:iCs/>
          <w:color w:val="000000"/>
          <w:sz w:val="24"/>
          <w:szCs w:val="24"/>
          <w:bdr w:val="none" w:sz="0" w:space="0" w:color="auto" w:frame="1"/>
        </w:rPr>
        <w:t>Note: edTPA requires multiple video tape segments of the candidate teaching students in the placement classroom.</w:t>
      </w:r>
    </w:p>
    <w:p w14:paraId="3771D56B" w14:textId="68B4A398" w:rsidR="00934DC5" w:rsidRPr="00C361DA" w:rsidRDefault="00501163" w:rsidP="00934DC5">
      <w:pPr>
        <w:numPr>
          <w:ilvl w:val="0"/>
          <w:numId w:val="8"/>
        </w:numPr>
        <w:spacing w:after="75" w:line="240" w:lineRule="auto"/>
        <w:ind w:left="300"/>
        <w:rPr>
          <w:rFonts w:ascii="Arial" w:eastAsia="Times New Roman" w:hAnsi="Arial" w:cs="Arial"/>
          <w:color w:val="000000"/>
          <w:sz w:val="24"/>
          <w:szCs w:val="24"/>
        </w:rPr>
      </w:pPr>
      <w:r w:rsidRPr="00501163">
        <w:rPr>
          <w:rFonts w:ascii="Arial" w:eastAsia="Times New Roman" w:hAnsi="Arial" w:cs="Arial"/>
          <w:color w:val="000000"/>
          <w:sz w:val="24"/>
          <w:szCs w:val="24"/>
        </w:rPr>
        <w:t>Placement setting has at least one English language learner and one student with special needs (IEP, 504 Plan, gifted student, etc.) to serve as “focus students” for edTPA tasks.</w:t>
      </w:r>
    </w:p>
    <w:p w14:paraId="3ABC9B56" w14:textId="33AA7404" w:rsidR="00934DC5" w:rsidRDefault="001B394C" w:rsidP="00934DC5">
      <w:pPr>
        <w:spacing w:after="75" w:line="240" w:lineRule="auto"/>
        <w:rPr>
          <w:rFonts w:ascii="Arial" w:eastAsia="Times New Roman" w:hAnsi="Arial" w:cs="Arial"/>
          <w:i/>
          <w:iCs/>
          <w:sz w:val="20"/>
          <w:szCs w:val="20"/>
        </w:rPr>
      </w:pPr>
      <w:r w:rsidRPr="009B3BFF">
        <w:rPr>
          <w:rFonts w:ascii="Arial" w:eastAsia="Times New Roman" w:hAnsi="Arial" w:cs="Arial"/>
          <w:i/>
          <w:iCs/>
          <w:sz w:val="20"/>
          <w:szCs w:val="20"/>
        </w:rPr>
        <w:t>The following items have been verified by the faculty supervisor, cooperating teacher, and candidate.</w:t>
      </w:r>
    </w:p>
    <w:p w14:paraId="2D318F6D" w14:textId="77777777" w:rsidR="009B3BFF" w:rsidRPr="009B3BFF" w:rsidRDefault="009B3BFF" w:rsidP="00934DC5">
      <w:pPr>
        <w:spacing w:after="75" w:line="240" w:lineRule="auto"/>
        <w:rPr>
          <w:rFonts w:ascii="Arial" w:eastAsia="Times New Roman" w:hAnsi="Arial" w:cs="Arial"/>
          <w:i/>
          <w:iCs/>
          <w:sz w:val="20"/>
          <w:szCs w:val="20"/>
        </w:rPr>
      </w:pPr>
    </w:p>
    <w:p w14:paraId="00009280" w14:textId="3179FC3D" w:rsidR="001B394C" w:rsidRPr="009B3BFF" w:rsidRDefault="001B394C" w:rsidP="001B394C">
      <w:pPr>
        <w:spacing w:after="75" w:line="240" w:lineRule="auto"/>
        <w:ind w:left="720"/>
        <w:rPr>
          <w:rFonts w:ascii="Arial" w:eastAsia="Times New Roman" w:hAnsi="Arial" w:cs="Arial"/>
          <w:i/>
          <w:iCs/>
          <w:sz w:val="20"/>
          <w:szCs w:val="20"/>
          <w:u w:val="single"/>
        </w:rPr>
      </w:pPr>
      <w:r w:rsidRPr="009B3BFF">
        <w:rPr>
          <w:rFonts w:ascii="Arial" w:eastAsia="Times New Roman" w:hAnsi="Arial" w:cs="Arial"/>
          <w:i/>
          <w:iCs/>
          <w:sz w:val="20"/>
          <w:szCs w:val="20"/>
        </w:rPr>
        <w:t>Faculty Supervisor’s Signature:</w:t>
      </w:r>
      <w:r w:rsidR="009B3BFF" w:rsidRPr="009B3BFF">
        <w:rPr>
          <w:rFonts w:ascii="Arial" w:eastAsia="Times New Roman" w:hAnsi="Arial" w:cs="Arial"/>
          <w:i/>
          <w:iCs/>
          <w:sz w:val="20"/>
          <w:szCs w:val="20"/>
        </w:rPr>
        <w:t xml:space="preserve">  </w:t>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009B3BFF">
        <w:rPr>
          <w:rFonts w:ascii="Arial" w:eastAsia="Times New Roman" w:hAnsi="Arial" w:cs="Arial"/>
          <w:sz w:val="20"/>
          <w:szCs w:val="20"/>
        </w:rPr>
        <w:t xml:space="preserve"> </w:t>
      </w:r>
      <w:r w:rsidR="009B3BFF" w:rsidRPr="009B3BFF">
        <w:rPr>
          <w:rFonts w:ascii="Arial" w:eastAsia="Times New Roman" w:hAnsi="Arial" w:cs="Arial"/>
          <w:i/>
          <w:iCs/>
          <w:sz w:val="20"/>
          <w:szCs w:val="20"/>
        </w:rPr>
        <w:t>Date:</w:t>
      </w:r>
      <w:r w:rsidR="009B3BFF">
        <w:rPr>
          <w:rFonts w:ascii="Arial" w:eastAsia="Times New Roman" w:hAnsi="Arial" w:cs="Arial"/>
          <w:sz w:val="20"/>
          <w:szCs w:val="20"/>
        </w:rPr>
        <w:t xml:space="preserve"> </w:t>
      </w:r>
      <w:r w:rsidR="009B3BFF">
        <w:rPr>
          <w:rFonts w:ascii="Arial" w:eastAsia="Times New Roman" w:hAnsi="Arial" w:cs="Arial"/>
          <w:i/>
          <w:iCs/>
          <w:sz w:val="20"/>
          <w:szCs w:val="20"/>
          <w:u w:val="single"/>
        </w:rPr>
        <w:tab/>
      </w:r>
      <w:r w:rsidR="009B3BFF">
        <w:rPr>
          <w:rFonts w:ascii="Arial" w:eastAsia="Times New Roman" w:hAnsi="Arial" w:cs="Arial"/>
          <w:i/>
          <w:iCs/>
          <w:sz w:val="20"/>
          <w:szCs w:val="20"/>
          <w:u w:val="single"/>
        </w:rPr>
        <w:tab/>
      </w:r>
      <w:r w:rsidR="009B3BFF">
        <w:rPr>
          <w:rFonts w:ascii="Arial" w:eastAsia="Times New Roman" w:hAnsi="Arial" w:cs="Arial"/>
          <w:i/>
          <w:iCs/>
          <w:sz w:val="20"/>
          <w:szCs w:val="20"/>
          <w:u w:val="single"/>
        </w:rPr>
        <w:tab/>
      </w:r>
    </w:p>
    <w:p w14:paraId="228B086C" w14:textId="77777777" w:rsidR="009B3BFF" w:rsidRPr="009B3BFF" w:rsidRDefault="001B394C" w:rsidP="009B3BFF">
      <w:pPr>
        <w:spacing w:after="75" w:line="240" w:lineRule="auto"/>
        <w:ind w:left="720"/>
        <w:rPr>
          <w:rFonts w:ascii="Arial" w:eastAsia="Times New Roman" w:hAnsi="Arial" w:cs="Arial"/>
          <w:i/>
          <w:iCs/>
          <w:sz w:val="20"/>
          <w:szCs w:val="20"/>
          <w:u w:val="single"/>
        </w:rPr>
      </w:pPr>
      <w:r w:rsidRPr="009B3BFF">
        <w:rPr>
          <w:rFonts w:ascii="Arial" w:eastAsia="Times New Roman" w:hAnsi="Arial" w:cs="Arial"/>
          <w:i/>
          <w:iCs/>
          <w:sz w:val="20"/>
          <w:szCs w:val="20"/>
        </w:rPr>
        <w:t>Cooperating Teacher</w:t>
      </w:r>
      <w:r w:rsidR="009B3BFF" w:rsidRPr="009B3BFF">
        <w:rPr>
          <w:rFonts w:ascii="Arial" w:eastAsia="Times New Roman" w:hAnsi="Arial" w:cs="Arial"/>
          <w:i/>
          <w:iCs/>
          <w:sz w:val="20"/>
          <w:szCs w:val="20"/>
        </w:rPr>
        <w:t>’s</w:t>
      </w:r>
      <w:r w:rsidRPr="009B3BFF">
        <w:rPr>
          <w:rFonts w:ascii="Arial" w:eastAsia="Times New Roman" w:hAnsi="Arial" w:cs="Arial"/>
          <w:i/>
          <w:iCs/>
          <w:sz w:val="20"/>
          <w:szCs w:val="20"/>
        </w:rPr>
        <w:t xml:space="preserve"> Signature:</w:t>
      </w:r>
      <w:r w:rsidR="009B3BFF" w:rsidRPr="009B3BFF">
        <w:rPr>
          <w:rFonts w:ascii="Arial" w:eastAsia="Times New Roman" w:hAnsi="Arial" w:cs="Arial"/>
          <w:i/>
          <w:iCs/>
          <w:sz w:val="20"/>
          <w:szCs w:val="20"/>
        </w:rPr>
        <w:t xml:space="preserve">  </w:t>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009B3BFF" w:rsidRPr="009B3BFF">
        <w:rPr>
          <w:rFonts w:ascii="Arial" w:eastAsia="Times New Roman" w:hAnsi="Arial" w:cs="Arial"/>
          <w:i/>
          <w:iCs/>
          <w:sz w:val="20"/>
          <w:szCs w:val="20"/>
        </w:rPr>
        <w:t>Date:</w:t>
      </w:r>
      <w:r w:rsidR="009B3BFF">
        <w:rPr>
          <w:rFonts w:ascii="Arial" w:eastAsia="Times New Roman" w:hAnsi="Arial" w:cs="Arial"/>
          <w:sz w:val="20"/>
          <w:szCs w:val="20"/>
        </w:rPr>
        <w:t xml:space="preserve"> </w:t>
      </w:r>
      <w:r w:rsidR="009B3BFF">
        <w:rPr>
          <w:rFonts w:ascii="Arial" w:eastAsia="Times New Roman" w:hAnsi="Arial" w:cs="Arial"/>
          <w:i/>
          <w:iCs/>
          <w:sz w:val="20"/>
          <w:szCs w:val="20"/>
          <w:u w:val="single"/>
        </w:rPr>
        <w:tab/>
      </w:r>
      <w:r w:rsidR="009B3BFF">
        <w:rPr>
          <w:rFonts w:ascii="Arial" w:eastAsia="Times New Roman" w:hAnsi="Arial" w:cs="Arial"/>
          <w:i/>
          <w:iCs/>
          <w:sz w:val="20"/>
          <w:szCs w:val="20"/>
          <w:u w:val="single"/>
        </w:rPr>
        <w:tab/>
      </w:r>
      <w:r w:rsidR="009B3BFF">
        <w:rPr>
          <w:rFonts w:ascii="Arial" w:eastAsia="Times New Roman" w:hAnsi="Arial" w:cs="Arial"/>
          <w:i/>
          <w:iCs/>
          <w:sz w:val="20"/>
          <w:szCs w:val="20"/>
          <w:u w:val="single"/>
        </w:rPr>
        <w:tab/>
      </w:r>
    </w:p>
    <w:p w14:paraId="7DF52F3D" w14:textId="77777777" w:rsidR="009B3BFF" w:rsidRPr="009B3BFF" w:rsidRDefault="009B3BFF" w:rsidP="009B3BFF">
      <w:pPr>
        <w:spacing w:after="75" w:line="240" w:lineRule="auto"/>
        <w:ind w:left="720"/>
        <w:rPr>
          <w:rFonts w:ascii="Arial" w:eastAsia="Times New Roman" w:hAnsi="Arial" w:cs="Arial"/>
          <w:i/>
          <w:iCs/>
          <w:sz w:val="20"/>
          <w:szCs w:val="20"/>
          <w:u w:val="single"/>
        </w:rPr>
      </w:pPr>
      <w:r w:rsidRPr="009B3BFF">
        <w:rPr>
          <w:rFonts w:ascii="Arial" w:eastAsia="Times New Roman" w:hAnsi="Arial" w:cs="Arial"/>
          <w:i/>
          <w:iCs/>
          <w:sz w:val="20"/>
          <w:szCs w:val="20"/>
        </w:rPr>
        <w:t xml:space="preserve">Candidate’s Signature:  </w:t>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u w:val="single"/>
        </w:rPr>
        <w:tab/>
      </w:r>
      <w:r w:rsidRPr="009B3BFF">
        <w:rPr>
          <w:rFonts w:ascii="Arial" w:eastAsia="Times New Roman" w:hAnsi="Arial" w:cs="Arial"/>
          <w:i/>
          <w:iCs/>
          <w:sz w:val="20"/>
          <w:szCs w:val="20"/>
        </w:rPr>
        <w:t>Date:</w:t>
      </w:r>
      <w:r>
        <w:rPr>
          <w:rFonts w:ascii="Arial" w:eastAsia="Times New Roman" w:hAnsi="Arial" w:cs="Arial"/>
          <w:sz w:val="20"/>
          <w:szCs w:val="20"/>
        </w:rPr>
        <w:t xml:space="preserve"> </w:t>
      </w:r>
      <w:r>
        <w:rPr>
          <w:rFonts w:ascii="Arial" w:eastAsia="Times New Roman" w:hAnsi="Arial" w:cs="Arial"/>
          <w:i/>
          <w:iCs/>
          <w:sz w:val="20"/>
          <w:szCs w:val="20"/>
          <w:u w:val="single"/>
        </w:rPr>
        <w:tab/>
      </w:r>
      <w:r>
        <w:rPr>
          <w:rFonts w:ascii="Arial" w:eastAsia="Times New Roman" w:hAnsi="Arial" w:cs="Arial"/>
          <w:i/>
          <w:iCs/>
          <w:sz w:val="20"/>
          <w:szCs w:val="20"/>
          <w:u w:val="single"/>
        </w:rPr>
        <w:tab/>
      </w:r>
      <w:r>
        <w:rPr>
          <w:rFonts w:ascii="Arial" w:eastAsia="Times New Roman" w:hAnsi="Arial" w:cs="Arial"/>
          <w:i/>
          <w:iCs/>
          <w:sz w:val="20"/>
          <w:szCs w:val="20"/>
          <w:u w:val="single"/>
        </w:rPr>
        <w:tab/>
      </w:r>
      <w:bookmarkStart w:id="0" w:name="_GoBack"/>
      <w:bookmarkEnd w:id="0"/>
    </w:p>
    <w:sectPr w:rsidR="009B3BFF" w:rsidRPr="009B3BFF" w:rsidSect="00C361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11D"/>
    <w:multiLevelType w:val="multilevel"/>
    <w:tmpl w:val="E39ECAA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9C6862"/>
    <w:multiLevelType w:val="hybridMultilevel"/>
    <w:tmpl w:val="9F7021B6"/>
    <w:lvl w:ilvl="0" w:tplc="DAC43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D5EAC"/>
    <w:multiLevelType w:val="hybridMultilevel"/>
    <w:tmpl w:val="7E0AE170"/>
    <w:lvl w:ilvl="0" w:tplc="DAC43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A2EBD"/>
    <w:multiLevelType w:val="multilevel"/>
    <w:tmpl w:val="85CC7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6DA"/>
    <w:multiLevelType w:val="multilevel"/>
    <w:tmpl w:val="F342CAF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63"/>
    <w:rsid w:val="00047E2E"/>
    <w:rsid w:val="001B394C"/>
    <w:rsid w:val="00501163"/>
    <w:rsid w:val="00934DC5"/>
    <w:rsid w:val="009B3BFF"/>
    <w:rsid w:val="00C361DA"/>
    <w:rsid w:val="00E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1993"/>
  <w15:chartTrackingRefBased/>
  <w15:docId w15:val="{85144297-0DF7-40D5-82AD-93478EA5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63"/>
    <w:rPr>
      <w:color w:val="0563C1" w:themeColor="hyperlink"/>
      <w:u w:val="single"/>
    </w:rPr>
  </w:style>
  <w:style w:type="character" w:styleId="UnresolvedMention">
    <w:name w:val="Unresolved Mention"/>
    <w:basedOn w:val="DefaultParagraphFont"/>
    <w:uiPriority w:val="99"/>
    <w:semiHidden/>
    <w:unhideWhenUsed/>
    <w:rsid w:val="00501163"/>
    <w:rPr>
      <w:color w:val="605E5C"/>
      <w:shd w:val="clear" w:color="auto" w:fill="E1DFDD"/>
    </w:rPr>
  </w:style>
  <w:style w:type="paragraph" w:styleId="BalloonText">
    <w:name w:val="Balloon Text"/>
    <w:basedOn w:val="Normal"/>
    <w:link w:val="BalloonTextChar"/>
    <w:uiPriority w:val="99"/>
    <w:semiHidden/>
    <w:unhideWhenUsed/>
    <w:rsid w:val="00C3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Taylor@phoen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VanAllen@phoenix.edu" TargetMode="External"/><Relationship Id="rId5" Type="http://schemas.openxmlformats.org/officeDocument/2006/relationships/hyperlink" Target="mailto:Lisa.Caron@phoenix.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Taylor</dc:creator>
  <cp:keywords/>
  <dc:description/>
  <cp:lastModifiedBy>Julia Taylor</cp:lastModifiedBy>
  <cp:revision>2</cp:revision>
  <dcterms:created xsi:type="dcterms:W3CDTF">2020-01-10T20:53:00Z</dcterms:created>
  <dcterms:modified xsi:type="dcterms:W3CDTF">2020-01-11T18:40:00Z</dcterms:modified>
</cp:coreProperties>
</file>